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DBE6F0">
      <w:pPr>
        <w:jc w:val="center"/>
        <w:rPr>
          <w:rFonts w:eastAsia="仿宋_GB2312"/>
          <w:sz w:val="24"/>
          <w:szCs w:val="32"/>
        </w:rPr>
      </w:pPr>
    </w:p>
    <w:p w14:paraId="594BA652">
      <w:pPr>
        <w:jc w:val="center"/>
        <w:rPr>
          <w:rStyle w:val="36"/>
          <w:rFonts w:eastAsia="方正小标宋简体"/>
          <w:bCs w:val="0"/>
          <w:color w:val="auto"/>
          <w:sz w:val="36"/>
          <w:szCs w:val="36"/>
        </w:rPr>
      </w:pPr>
      <w:r>
        <w:rPr>
          <w:rStyle w:val="36"/>
          <w:rFonts w:hint="eastAsia" w:ascii="仿宋_GB2312" w:hAnsi="仿宋_GB2312" w:eastAsia="仿宋_GB2312" w:cs="仿宋_GB2312"/>
          <w:b w:val="0"/>
          <w:color w:val="auto"/>
          <w:sz w:val="36"/>
          <w:szCs w:val="36"/>
        </w:rPr>
        <w:t>浙江省科学技术奖公示信息表</w:t>
      </w:r>
      <w:r>
        <w:rPr>
          <w:rStyle w:val="36"/>
          <w:rFonts w:eastAsia="仿宋_GB2312"/>
          <w:b w:val="0"/>
          <w:color w:val="auto"/>
          <w:sz w:val="32"/>
          <w:szCs w:val="32"/>
        </w:rPr>
        <w:t>（单位提名）</w:t>
      </w:r>
    </w:p>
    <w:p w14:paraId="3AFE2B63">
      <w:pPr>
        <w:spacing w:line="440" w:lineRule="exact"/>
        <w:rPr>
          <w:rFonts w:eastAsia="仿宋_GB2312"/>
          <w:sz w:val="28"/>
          <w:szCs w:val="24"/>
        </w:rPr>
      </w:pPr>
      <w:r>
        <w:rPr>
          <w:rFonts w:eastAsia="仿宋_GB2312"/>
          <w:sz w:val="28"/>
          <w:szCs w:val="24"/>
        </w:rPr>
        <w:t>提名奖项：（填自然科学奖、技术发明奖、科学技术进步奖）</w:t>
      </w:r>
    </w:p>
    <w:tbl>
      <w:tblPr>
        <w:tblStyle w:val="16"/>
        <w:tblW w:w="853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64"/>
      </w:tblGrid>
      <w:tr w14:paraId="18087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B1B4BAC">
            <w:pPr>
              <w:jc w:val="center"/>
              <w:rPr>
                <w:rStyle w:val="36"/>
                <w:rFonts w:eastAsia="仿宋_GB2312"/>
                <w:b w:val="0"/>
                <w:color w:val="auto"/>
                <w:sz w:val="28"/>
              </w:rPr>
            </w:pPr>
            <w:r>
              <w:rPr>
                <w:rStyle w:val="36"/>
                <w:rFonts w:eastAsia="仿宋_GB2312"/>
                <w:b w:val="0"/>
                <w:bCs w:val="0"/>
                <w:color w:val="auto"/>
                <w:sz w:val="28"/>
              </w:rPr>
              <w:t>成果名称</w:t>
            </w:r>
          </w:p>
        </w:tc>
        <w:tc>
          <w:tcPr>
            <w:tcW w:w="6264" w:type="dxa"/>
            <w:vAlign w:val="center"/>
          </w:tcPr>
          <w:p w14:paraId="348C2A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6"/>
                <w:rFonts w:hint="eastAsia" w:eastAsia="仿宋_GB2312"/>
                <w:b w:val="0"/>
                <w:color w:val="auto"/>
                <w:sz w:val="24"/>
                <w:szCs w:val="24"/>
                <w:lang w:val="en-US" w:eastAsia="zh-CN"/>
              </w:rPr>
            </w:pPr>
            <w:r>
              <w:rPr>
                <w:rStyle w:val="36"/>
                <w:rFonts w:hint="eastAsia" w:ascii="仿宋_GB2312" w:hAnsi="仿宋_GB2312" w:eastAsia="仿宋_GB2312" w:cs="仿宋_GB2312"/>
                <w:b w:val="0"/>
                <w:color w:val="auto"/>
                <w:sz w:val="24"/>
                <w:szCs w:val="24"/>
                <w:lang w:val="en-US" w:eastAsia="zh-CN"/>
              </w:rPr>
              <w:t>基于“湿瘀互结”论治代谢相关脂肪肝的分型方药机制及临床应用</w:t>
            </w:r>
          </w:p>
        </w:tc>
      </w:tr>
      <w:tr w14:paraId="682FF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024CD3E4">
            <w:pPr>
              <w:jc w:val="center"/>
              <w:rPr>
                <w:rStyle w:val="36"/>
                <w:rFonts w:eastAsia="仿宋_GB2312"/>
                <w:b w:val="0"/>
                <w:color w:val="auto"/>
                <w:sz w:val="28"/>
              </w:rPr>
            </w:pPr>
            <w:r>
              <w:rPr>
                <w:rStyle w:val="36"/>
                <w:rFonts w:eastAsia="仿宋_GB2312"/>
                <w:b w:val="0"/>
                <w:bCs w:val="0"/>
                <w:color w:val="auto"/>
                <w:sz w:val="28"/>
              </w:rPr>
              <w:t>提名等级</w:t>
            </w:r>
          </w:p>
        </w:tc>
        <w:tc>
          <w:tcPr>
            <w:tcW w:w="6264" w:type="dxa"/>
            <w:vAlign w:val="center"/>
          </w:tcPr>
          <w:p w14:paraId="34E0563B">
            <w:pPr>
              <w:jc w:val="center"/>
              <w:rPr>
                <w:rStyle w:val="36"/>
                <w:rFonts w:hint="eastAsia" w:eastAsia="仿宋_GB2312"/>
                <w:b w:val="0"/>
                <w:color w:val="auto"/>
                <w:sz w:val="24"/>
                <w:szCs w:val="24"/>
                <w:lang w:val="en-US" w:eastAsia="zh-CN"/>
              </w:rPr>
            </w:pPr>
            <w:r>
              <w:rPr>
                <w:rStyle w:val="36"/>
                <w:rFonts w:hint="eastAsia" w:eastAsia="仿宋_GB2312"/>
                <w:b w:val="0"/>
                <w:color w:val="auto"/>
                <w:sz w:val="24"/>
                <w:szCs w:val="24"/>
                <w:lang w:val="en-US" w:eastAsia="zh-CN"/>
              </w:rPr>
              <w:t>二等奖</w:t>
            </w:r>
          </w:p>
        </w:tc>
      </w:tr>
      <w:tr w14:paraId="4D619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54E4E071">
            <w:pPr>
              <w:spacing w:line="440" w:lineRule="exact"/>
              <w:jc w:val="center"/>
              <w:rPr>
                <w:rFonts w:eastAsia="仿宋_GB2312"/>
                <w:bCs/>
                <w:sz w:val="28"/>
                <w:szCs w:val="24"/>
              </w:rPr>
            </w:pPr>
            <w:r>
              <w:rPr>
                <w:rFonts w:eastAsia="仿宋_GB2312"/>
                <w:bCs/>
                <w:sz w:val="28"/>
                <w:szCs w:val="24"/>
              </w:rPr>
              <w:t>提名书</w:t>
            </w:r>
          </w:p>
          <w:p w14:paraId="0D4D4338">
            <w:pPr>
              <w:spacing w:line="440" w:lineRule="exact"/>
              <w:jc w:val="center"/>
              <w:rPr>
                <w:rFonts w:eastAsia="仿宋_GB2312"/>
                <w:bCs/>
                <w:sz w:val="28"/>
                <w:szCs w:val="24"/>
              </w:rPr>
            </w:pPr>
            <w:r>
              <w:rPr>
                <w:rFonts w:eastAsia="仿宋_GB2312"/>
                <w:bCs/>
                <w:sz w:val="28"/>
                <w:szCs w:val="24"/>
              </w:rPr>
              <w:t>相关内容</w:t>
            </w:r>
          </w:p>
        </w:tc>
        <w:tc>
          <w:tcPr>
            <w:tcW w:w="6264" w:type="dxa"/>
            <w:vAlign w:val="center"/>
          </w:tcPr>
          <w:p w14:paraId="059B85C5">
            <w:pPr>
              <w:spacing w:line="440" w:lineRule="exact"/>
              <w:jc w:val="left"/>
              <w:rPr>
                <w:rFonts w:hint="eastAsia" w:eastAsia="仿宋_GB2312"/>
                <w:bCs/>
                <w:sz w:val="24"/>
                <w:szCs w:val="24"/>
              </w:rPr>
            </w:pPr>
            <w:r>
              <w:rPr>
                <w:rFonts w:hint="eastAsia" w:eastAsia="仿宋_GB2312"/>
                <w:bCs/>
                <w:sz w:val="24"/>
                <w:szCs w:val="24"/>
              </w:rPr>
              <w:t>代表性论著：</w:t>
            </w:r>
          </w:p>
          <w:p w14:paraId="2CBC90ED">
            <w:pPr>
              <w:spacing w:line="440" w:lineRule="exact"/>
              <w:ind w:left="240" w:hanging="240" w:hangingChars="100"/>
              <w:jc w:val="left"/>
              <w:rPr>
                <w:rFonts w:hint="eastAsia" w:eastAsia="仿宋_GB2312"/>
                <w:bCs/>
                <w:sz w:val="24"/>
                <w:szCs w:val="24"/>
              </w:rPr>
            </w:pPr>
            <w:r>
              <w:rPr>
                <w:rFonts w:hint="eastAsia" w:eastAsia="仿宋_GB2312"/>
                <w:bCs/>
                <w:sz w:val="24"/>
                <w:szCs w:val="24"/>
              </w:rPr>
              <w:t xml:space="preserve">1.Li H, Xi Y, Xin X, Feng Q, Hu Y. Geniposide plus chlorogenic acid reverses non-alcoholic steatohepatitis via regulation of gut microbiota and bile acid signaling in a mouse model in vivo. Front Pharmacol. 2023 Apr 3;14:1148737. </w:t>
            </w:r>
          </w:p>
          <w:p w14:paraId="6057CA0C">
            <w:pPr>
              <w:spacing w:line="440" w:lineRule="exact"/>
              <w:ind w:left="240" w:hanging="240" w:hangingChars="100"/>
              <w:jc w:val="left"/>
              <w:rPr>
                <w:rFonts w:hint="eastAsia" w:eastAsia="仿宋_GB2312"/>
                <w:bCs/>
                <w:sz w:val="24"/>
                <w:szCs w:val="24"/>
              </w:rPr>
            </w:pPr>
            <w:r>
              <w:rPr>
                <w:rFonts w:hint="eastAsia" w:eastAsia="仿宋_GB2312"/>
                <w:bCs/>
                <w:sz w:val="24"/>
                <w:szCs w:val="24"/>
              </w:rPr>
              <w:t>2.Zhang J, Zhou J, He Z, Xia Z, Liu H, Wu Y, Chen S, Wu B, Li H. Salidroside attenuates NASH through regulating bile acid-FXR/TGR5 signaling pathway via targeting gut microbiota. Int J Biol Macromol. 2025 May;307(Pt 4):142276.</w:t>
            </w:r>
          </w:p>
          <w:p w14:paraId="71A027B4">
            <w:pPr>
              <w:spacing w:line="440" w:lineRule="exact"/>
              <w:ind w:left="240" w:hanging="240" w:hangingChars="100"/>
              <w:jc w:val="left"/>
              <w:rPr>
                <w:rFonts w:hint="eastAsia" w:eastAsia="仿宋_GB2312"/>
                <w:bCs/>
                <w:sz w:val="24"/>
                <w:szCs w:val="24"/>
              </w:rPr>
            </w:pPr>
            <w:r>
              <w:rPr>
                <w:rFonts w:hint="eastAsia" w:eastAsia="仿宋_GB2312"/>
                <w:bCs/>
                <w:sz w:val="24"/>
                <w:szCs w:val="24"/>
              </w:rPr>
              <w:t>3.Li H, Xi Y, Liu H, Xin X. Gypenosides ameliorate high-fat diet-induced non-alcoholic steatohepatitis via farnesoid X receptor activation. Front Nutr. 2022 Aug 24;9:914079.</w:t>
            </w:r>
          </w:p>
          <w:p w14:paraId="728281E3">
            <w:pPr>
              <w:spacing w:line="440" w:lineRule="exact"/>
              <w:ind w:left="240" w:hanging="240" w:hangingChars="100"/>
              <w:jc w:val="left"/>
              <w:rPr>
                <w:rFonts w:hint="eastAsia" w:eastAsia="仿宋_GB2312"/>
                <w:bCs/>
                <w:sz w:val="24"/>
                <w:szCs w:val="24"/>
              </w:rPr>
            </w:pPr>
            <w:r>
              <w:rPr>
                <w:rFonts w:hint="eastAsia" w:eastAsia="仿宋_GB2312"/>
                <w:bCs/>
                <w:sz w:val="24"/>
                <w:szCs w:val="24"/>
              </w:rPr>
              <w:t>4.Li HS</w:t>
            </w:r>
            <w:r>
              <w:rPr>
                <w:rFonts w:hint="eastAsia" w:eastAsia="仿宋_GB2312"/>
                <w:bCs/>
                <w:sz w:val="24"/>
                <w:szCs w:val="24"/>
                <w:lang w:val="en-US" w:eastAsia="zh-CN"/>
              </w:rPr>
              <w:t>,Ying H</w:t>
            </w:r>
            <w:r>
              <w:rPr>
                <w:rFonts w:hint="eastAsia" w:eastAsia="仿宋_GB2312"/>
                <w:bCs/>
                <w:sz w:val="24"/>
                <w:szCs w:val="24"/>
              </w:rPr>
              <w:t>.</w:t>
            </w:r>
            <w:r>
              <w:rPr>
                <w:rFonts w:hint="eastAsia" w:eastAsia="仿宋_GB2312"/>
                <w:bCs/>
                <w:sz w:val="24"/>
                <w:szCs w:val="24"/>
                <w:lang w:val="en-US" w:eastAsia="zh-CN"/>
              </w:rPr>
              <w:t>He ZY.</w:t>
            </w:r>
            <w:r>
              <w:rPr>
                <w:rFonts w:hint="eastAsia" w:eastAsia="仿宋_GB2312"/>
                <w:bCs/>
                <w:sz w:val="24"/>
                <w:szCs w:val="24"/>
              </w:rPr>
              <w:t xml:space="preserve"> Salidroside and Curcumin Formula Prevents Liver Injury in Nonalcoholic Fatty Liver Disease in Rats. Ann Hepatol. 2018 Aug 24;17(5):769-778. </w:t>
            </w:r>
          </w:p>
          <w:p w14:paraId="689BAD22">
            <w:pPr>
              <w:spacing w:line="440" w:lineRule="exact"/>
              <w:ind w:left="240" w:hanging="240" w:hangingChars="100"/>
              <w:jc w:val="left"/>
              <w:rPr>
                <w:rFonts w:hint="eastAsia" w:eastAsia="仿宋_GB2312"/>
                <w:bCs/>
                <w:sz w:val="24"/>
                <w:szCs w:val="24"/>
              </w:rPr>
            </w:pPr>
            <w:r>
              <w:rPr>
                <w:rFonts w:hint="eastAsia" w:eastAsia="仿宋_GB2312"/>
                <w:bCs/>
                <w:sz w:val="24"/>
                <w:szCs w:val="24"/>
              </w:rPr>
              <w:t xml:space="preserve">5.Zhang B, Ni M, Li X, Liu Q, Hu Y, Zhao Y. QSHY Granules Promote White Adipose Tissue Browning and Correct BCAAs Metabolic Disorder in NAFLD Mice. Diabetes Metab Syndr Obes. 2021 Oct 14;14:4241-4251. </w:t>
            </w:r>
          </w:p>
          <w:p w14:paraId="4B05ECDC">
            <w:pPr>
              <w:spacing w:line="440" w:lineRule="exact"/>
              <w:ind w:left="240" w:hanging="240" w:hangingChars="100"/>
              <w:jc w:val="left"/>
              <w:rPr>
                <w:rFonts w:hint="eastAsia" w:eastAsia="仿宋_GB2312"/>
                <w:bCs/>
                <w:sz w:val="24"/>
                <w:szCs w:val="24"/>
              </w:rPr>
            </w:pPr>
            <w:r>
              <w:rPr>
                <w:rFonts w:hint="eastAsia" w:eastAsia="仿宋_GB2312"/>
                <w:bCs/>
                <w:sz w:val="24"/>
                <w:szCs w:val="24"/>
              </w:rPr>
              <w:t xml:space="preserve">6.李红山,奚瑛斐,何哲耘.中药组分HJJB方对小鼠非酒精性脂肪性肝炎的防治作用及其对肠道菌群的影响[J].中华中医药杂志,2022, 37 (10): 6014-6018. </w:t>
            </w:r>
          </w:p>
          <w:p w14:paraId="626FB881">
            <w:pPr>
              <w:spacing w:line="440" w:lineRule="exact"/>
              <w:jc w:val="left"/>
              <w:rPr>
                <w:rFonts w:hint="eastAsia" w:eastAsia="仿宋_GB2312"/>
                <w:bCs/>
                <w:sz w:val="24"/>
                <w:szCs w:val="24"/>
                <w:lang w:val="en-US" w:eastAsia="zh-CN"/>
              </w:rPr>
            </w:pPr>
            <w:r>
              <w:rPr>
                <w:rFonts w:hint="eastAsia" w:eastAsia="仿宋_GB2312"/>
                <w:bCs/>
                <w:sz w:val="24"/>
                <w:szCs w:val="24"/>
              </w:rPr>
              <w:t>7.周飞,李红山.基于均匀设计的红景天苷-姜黄素组合防治</w:t>
            </w:r>
            <w:r>
              <w:rPr>
                <w:rFonts w:hint="eastAsia" w:eastAsia="仿宋_GB2312"/>
                <w:bCs/>
                <w:sz w:val="24"/>
                <w:szCs w:val="24"/>
                <w:lang w:val="en-US" w:eastAsia="zh-CN"/>
              </w:rPr>
              <w:t xml:space="preserve">   </w:t>
            </w:r>
          </w:p>
          <w:p w14:paraId="66F141BC">
            <w:pPr>
              <w:spacing w:line="440" w:lineRule="exact"/>
              <w:ind w:left="239" w:leftChars="114" w:firstLine="0" w:firstLineChars="0"/>
              <w:jc w:val="left"/>
              <w:rPr>
                <w:rFonts w:hint="eastAsia" w:eastAsia="仿宋_GB2312"/>
                <w:bCs/>
                <w:sz w:val="24"/>
                <w:szCs w:val="24"/>
              </w:rPr>
            </w:pPr>
            <w:r>
              <w:rPr>
                <w:rFonts w:hint="eastAsia" w:eastAsia="仿宋_GB2312"/>
                <w:bCs/>
                <w:sz w:val="24"/>
                <w:szCs w:val="24"/>
              </w:rPr>
              <w:t>非酒精性脂肪性肝病剂量优化配比研究[J].中华中医药杂志,2018, 33(6): 26 46-2649.</w:t>
            </w:r>
          </w:p>
          <w:p w14:paraId="27AACE83">
            <w:pPr>
              <w:spacing w:line="440" w:lineRule="exact"/>
              <w:ind w:left="240" w:hanging="240" w:hangingChars="100"/>
              <w:jc w:val="left"/>
              <w:rPr>
                <w:rFonts w:hint="eastAsia" w:eastAsia="仿宋_GB2312"/>
                <w:bCs/>
                <w:sz w:val="24"/>
                <w:szCs w:val="24"/>
              </w:rPr>
            </w:pPr>
            <w:r>
              <w:rPr>
                <w:rFonts w:hint="eastAsia" w:eastAsia="仿宋_GB2312"/>
                <w:bCs/>
                <w:sz w:val="24"/>
                <w:szCs w:val="24"/>
              </w:rPr>
              <w:t>8.Li HS, Hu YY. Intestinal Microecology: An Important Target for Chinese Medicine Treatment of Non-alcoholic Fatty Liver Disease. Chin J Integr Med. 2020 Oct;26(10):723-728.</w:t>
            </w:r>
          </w:p>
          <w:p w14:paraId="41FE519A">
            <w:pPr>
              <w:spacing w:line="440" w:lineRule="exact"/>
              <w:ind w:left="240" w:hanging="240" w:hangingChars="100"/>
              <w:jc w:val="left"/>
              <w:rPr>
                <w:rFonts w:hint="eastAsia" w:eastAsia="仿宋_GB2312"/>
                <w:bCs/>
                <w:sz w:val="24"/>
                <w:szCs w:val="24"/>
              </w:rPr>
            </w:pPr>
            <w:r>
              <w:rPr>
                <w:rFonts w:hint="eastAsia" w:eastAsia="仿宋_GB2312"/>
                <w:bCs/>
                <w:sz w:val="24"/>
                <w:szCs w:val="24"/>
              </w:rPr>
              <w:t xml:space="preserve">9.Zhang J, Zhou J, He Z, Li H. Bacteroides and NAFLD: pathophysiol ogy and therapy. Front Microbiol. 2024 Mar 20;15:1288856. </w:t>
            </w:r>
          </w:p>
          <w:p w14:paraId="65F53431">
            <w:pPr>
              <w:spacing w:line="440" w:lineRule="exact"/>
              <w:ind w:left="240" w:hanging="240" w:hangingChars="100"/>
              <w:jc w:val="left"/>
              <w:rPr>
                <w:rFonts w:eastAsia="仿宋_GB2312"/>
                <w:bCs/>
                <w:sz w:val="24"/>
                <w:szCs w:val="24"/>
              </w:rPr>
            </w:pPr>
            <w:r>
              <w:rPr>
                <w:rFonts w:hint="eastAsia" w:eastAsia="仿宋_GB2312"/>
                <w:bCs/>
                <w:sz w:val="24"/>
                <w:szCs w:val="24"/>
              </w:rPr>
              <w:t>10.Xi Y, Li H. Role of farnesoid X receptor in hepatic steatosis in nonalcoholic fatty liver disease. Biomed Pharmacother. 2020 Jan;121:109609.</w:t>
            </w:r>
          </w:p>
        </w:tc>
      </w:tr>
      <w:tr w14:paraId="0B8E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C89A080">
            <w:pPr>
              <w:spacing w:line="440" w:lineRule="exact"/>
              <w:jc w:val="center"/>
              <w:rPr>
                <w:rFonts w:eastAsia="仿宋_GB2312"/>
                <w:bCs/>
                <w:sz w:val="28"/>
                <w:szCs w:val="24"/>
              </w:rPr>
            </w:pPr>
            <w:r>
              <w:rPr>
                <w:rFonts w:eastAsia="仿宋_GB2312"/>
                <w:bCs/>
                <w:sz w:val="28"/>
                <w:szCs w:val="24"/>
              </w:rPr>
              <w:t>主要完成人</w:t>
            </w:r>
          </w:p>
        </w:tc>
        <w:tc>
          <w:tcPr>
            <w:tcW w:w="6264" w:type="dxa"/>
            <w:tcBorders>
              <w:left w:val="single" w:color="auto" w:sz="4" w:space="0"/>
            </w:tcBorders>
            <w:vAlign w:val="center"/>
          </w:tcPr>
          <w:p w14:paraId="2BFF1DC5">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仿宋_GB2312"/>
                <w:bCs/>
                <w:color w:val="auto"/>
                <w:sz w:val="24"/>
                <w:szCs w:val="24"/>
              </w:rPr>
            </w:pPr>
            <w:r>
              <w:rPr>
                <w:rFonts w:hint="eastAsia" w:eastAsia="仿宋_GB2312"/>
                <w:bCs/>
                <w:color w:val="auto"/>
                <w:sz w:val="24"/>
                <w:szCs w:val="24"/>
                <w:lang w:val="en-US" w:eastAsia="zh-CN"/>
              </w:rPr>
              <w:t>李红山</w:t>
            </w:r>
            <w:r>
              <w:rPr>
                <w:rFonts w:eastAsia="仿宋_GB2312"/>
                <w:bCs/>
                <w:color w:val="auto"/>
                <w:sz w:val="24"/>
                <w:szCs w:val="24"/>
              </w:rPr>
              <w:t>，排名1，</w:t>
            </w:r>
            <w:r>
              <w:rPr>
                <w:rFonts w:hint="eastAsia" w:eastAsia="仿宋_GB2312"/>
                <w:bCs/>
                <w:color w:val="auto"/>
                <w:sz w:val="24"/>
                <w:szCs w:val="24"/>
                <w:lang w:val="en-US" w:eastAsia="zh-CN"/>
              </w:rPr>
              <w:t>主任中医师</w:t>
            </w:r>
            <w:r>
              <w:rPr>
                <w:rFonts w:eastAsia="仿宋_GB2312"/>
                <w:bCs/>
                <w:color w:val="auto"/>
                <w:sz w:val="24"/>
                <w:szCs w:val="24"/>
              </w:rPr>
              <w:t>，</w:t>
            </w:r>
            <w:r>
              <w:rPr>
                <w:rFonts w:hint="eastAsia" w:eastAsia="仿宋_GB2312"/>
                <w:bCs/>
                <w:color w:val="auto"/>
                <w:sz w:val="24"/>
                <w:szCs w:val="24"/>
                <w:lang w:val="en-US" w:eastAsia="zh-CN"/>
              </w:rPr>
              <w:t>宁波市第二医院</w:t>
            </w:r>
            <w:r>
              <w:rPr>
                <w:rFonts w:eastAsia="仿宋_GB2312"/>
                <w:bCs/>
                <w:color w:val="auto"/>
                <w:sz w:val="24"/>
                <w:szCs w:val="24"/>
              </w:rPr>
              <w:t>；</w:t>
            </w:r>
          </w:p>
          <w:p w14:paraId="757B01C9">
            <w:pPr>
              <w:keepNext w:val="0"/>
              <w:keepLines w:val="0"/>
              <w:pageBreakBefore w:val="0"/>
              <w:widowControl w:val="0"/>
              <w:tabs>
                <w:tab w:val="center" w:pos="3152"/>
              </w:tabs>
              <w:kinsoku/>
              <w:wordWrap/>
              <w:overflowPunct/>
              <w:topLinePunct w:val="0"/>
              <w:autoSpaceDE/>
              <w:autoSpaceDN/>
              <w:bidi w:val="0"/>
              <w:adjustRightInd/>
              <w:snapToGrid/>
              <w:spacing w:line="400" w:lineRule="exact"/>
              <w:textAlignment w:val="auto"/>
              <w:rPr>
                <w:rFonts w:hint="eastAsia" w:eastAsia="仿宋_GB2312"/>
                <w:bCs/>
                <w:color w:val="auto"/>
                <w:sz w:val="24"/>
                <w:szCs w:val="24"/>
                <w:lang w:val="en-US" w:eastAsia="zh-CN"/>
              </w:rPr>
            </w:pPr>
            <w:r>
              <w:rPr>
                <w:rFonts w:hint="eastAsia" w:eastAsia="仿宋_GB2312"/>
                <w:bCs/>
                <w:color w:val="auto"/>
                <w:sz w:val="24"/>
                <w:szCs w:val="24"/>
                <w:lang w:val="en-US" w:eastAsia="zh-CN"/>
              </w:rPr>
              <w:t>胡义扬，排名2，教授，上海中医药大学附属曙光医院；</w:t>
            </w:r>
          </w:p>
          <w:p w14:paraId="53071B1A">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仿宋_GB2312"/>
                <w:bCs/>
                <w:color w:val="auto"/>
                <w:sz w:val="24"/>
                <w:szCs w:val="24"/>
              </w:rPr>
            </w:pPr>
            <w:r>
              <w:rPr>
                <w:rFonts w:hint="eastAsia" w:eastAsia="仿宋_GB2312"/>
                <w:bCs/>
                <w:color w:val="auto"/>
                <w:sz w:val="24"/>
                <w:szCs w:val="24"/>
                <w:lang w:val="en-US" w:eastAsia="zh-CN"/>
              </w:rPr>
              <w:t>张彬彬</w:t>
            </w:r>
            <w:r>
              <w:rPr>
                <w:rFonts w:eastAsia="仿宋_GB2312"/>
                <w:bCs/>
                <w:color w:val="auto"/>
                <w:sz w:val="24"/>
                <w:szCs w:val="24"/>
              </w:rPr>
              <w:t>，排名3，</w:t>
            </w:r>
            <w:r>
              <w:rPr>
                <w:rFonts w:hint="eastAsia" w:eastAsia="仿宋_GB2312"/>
                <w:bCs/>
                <w:color w:val="auto"/>
                <w:sz w:val="24"/>
                <w:szCs w:val="24"/>
                <w:lang w:val="en-US" w:eastAsia="zh-CN"/>
              </w:rPr>
              <w:t>主任医师</w:t>
            </w:r>
            <w:r>
              <w:rPr>
                <w:rFonts w:eastAsia="仿宋_GB2312"/>
                <w:bCs/>
                <w:color w:val="auto"/>
                <w:sz w:val="24"/>
                <w:szCs w:val="24"/>
              </w:rPr>
              <w:t>，</w:t>
            </w:r>
            <w:r>
              <w:rPr>
                <w:rFonts w:hint="eastAsia" w:eastAsia="仿宋_GB2312"/>
                <w:bCs/>
                <w:color w:val="auto"/>
                <w:sz w:val="24"/>
                <w:szCs w:val="24"/>
                <w:lang w:val="en-US" w:eastAsia="zh-CN"/>
              </w:rPr>
              <w:t>杭州师范大学附属医院</w:t>
            </w:r>
            <w:r>
              <w:rPr>
                <w:rFonts w:eastAsia="仿宋_GB2312"/>
                <w:bCs/>
                <w:color w:val="auto"/>
                <w:sz w:val="24"/>
                <w:szCs w:val="24"/>
              </w:rPr>
              <w:t>；</w:t>
            </w:r>
          </w:p>
          <w:p w14:paraId="7E546620">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仿宋_GB2312"/>
                <w:bCs/>
                <w:color w:val="auto"/>
                <w:sz w:val="24"/>
                <w:szCs w:val="24"/>
              </w:rPr>
            </w:pPr>
            <w:r>
              <w:rPr>
                <w:rFonts w:hint="eastAsia" w:eastAsia="仿宋_GB2312"/>
                <w:bCs/>
                <w:color w:val="auto"/>
                <w:sz w:val="24"/>
                <w:szCs w:val="24"/>
                <w:lang w:val="en-US" w:eastAsia="zh-CN"/>
              </w:rPr>
              <w:t>奚瑛斐</w:t>
            </w:r>
            <w:r>
              <w:rPr>
                <w:rFonts w:eastAsia="仿宋_GB2312"/>
                <w:bCs/>
                <w:color w:val="auto"/>
                <w:sz w:val="24"/>
                <w:szCs w:val="24"/>
              </w:rPr>
              <w:t>，排名</w:t>
            </w:r>
            <w:r>
              <w:rPr>
                <w:rFonts w:hint="eastAsia" w:eastAsia="仿宋_GB2312"/>
                <w:bCs/>
                <w:color w:val="auto"/>
                <w:sz w:val="24"/>
                <w:szCs w:val="24"/>
                <w:lang w:val="en-US" w:eastAsia="zh-CN"/>
              </w:rPr>
              <w:t>4</w:t>
            </w:r>
            <w:r>
              <w:rPr>
                <w:rFonts w:eastAsia="仿宋_GB2312"/>
                <w:bCs/>
                <w:color w:val="auto"/>
                <w:sz w:val="24"/>
                <w:szCs w:val="24"/>
              </w:rPr>
              <w:t>，</w:t>
            </w:r>
            <w:r>
              <w:rPr>
                <w:rFonts w:hint="eastAsia" w:eastAsia="仿宋_GB2312"/>
                <w:bCs/>
                <w:color w:val="auto"/>
                <w:sz w:val="24"/>
                <w:szCs w:val="24"/>
                <w:lang w:val="en-US" w:eastAsia="zh-CN"/>
              </w:rPr>
              <w:t>主治医师</w:t>
            </w:r>
            <w:r>
              <w:rPr>
                <w:rFonts w:eastAsia="仿宋_GB2312"/>
                <w:bCs/>
                <w:color w:val="auto"/>
                <w:sz w:val="24"/>
                <w:szCs w:val="24"/>
              </w:rPr>
              <w:t>，</w:t>
            </w:r>
            <w:r>
              <w:rPr>
                <w:rFonts w:hint="eastAsia" w:eastAsia="仿宋_GB2312"/>
                <w:bCs/>
                <w:color w:val="auto"/>
                <w:sz w:val="24"/>
                <w:szCs w:val="24"/>
                <w:lang w:val="en-US" w:eastAsia="zh-CN"/>
              </w:rPr>
              <w:t>宁波市第二医院</w:t>
            </w:r>
            <w:r>
              <w:rPr>
                <w:rFonts w:eastAsia="仿宋_GB2312"/>
                <w:bCs/>
                <w:color w:val="auto"/>
                <w:sz w:val="24"/>
                <w:szCs w:val="24"/>
              </w:rPr>
              <w:t>；</w:t>
            </w:r>
          </w:p>
          <w:p w14:paraId="1A9EB73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仿宋_GB2312"/>
                <w:bCs/>
                <w:color w:val="auto"/>
                <w:sz w:val="24"/>
                <w:szCs w:val="24"/>
                <w:lang w:val="en-US" w:eastAsia="zh-CN"/>
              </w:rPr>
            </w:pPr>
            <w:r>
              <w:rPr>
                <w:rFonts w:hint="eastAsia" w:eastAsia="仿宋_GB2312"/>
                <w:bCs/>
                <w:color w:val="auto"/>
                <w:sz w:val="24"/>
                <w:szCs w:val="24"/>
                <w:lang w:val="en-US" w:eastAsia="zh-CN"/>
              </w:rPr>
              <w:t>冯琴，排名5，教授，上海中医药大学附属曙光医院；</w:t>
            </w:r>
          </w:p>
          <w:p w14:paraId="7F10A098">
            <w:pPr>
              <w:keepNext w:val="0"/>
              <w:keepLines w:val="0"/>
              <w:pageBreakBefore w:val="0"/>
              <w:widowControl w:val="0"/>
              <w:tabs>
                <w:tab w:val="center" w:pos="3152"/>
              </w:tabs>
              <w:kinsoku/>
              <w:wordWrap/>
              <w:overflowPunct/>
              <w:topLinePunct w:val="0"/>
              <w:autoSpaceDE/>
              <w:autoSpaceDN/>
              <w:bidi w:val="0"/>
              <w:adjustRightInd/>
              <w:snapToGrid/>
              <w:spacing w:line="400" w:lineRule="exact"/>
              <w:textAlignment w:val="auto"/>
              <w:rPr>
                <w:rFonts w:hint="eastAsia" w:eastAsia="仿宋_GB2312"/>
                <w:bCs/>
                <w:color w:val="auto"/>
                <w:sz w:val="24"/>
                <w:szCs w:val="24"/>
                <w:lang w:val="en-US" w:eastAsia="zh-CN"/>
              </w:rPr>
            </w:pPr>
            <w:r>
              <w:rPr>
                <w:rFonts w:hint="eastAsia" w:eastAsia="仿宋_GB2312"/>
                <w:bCs/>
                <w:color w:val="auto"/>
                <w:sz w:val="24"/>
                <w:szCs w:val="24"/>
                <w:lang w:val="en-US" w:eastAsia="zh-CN"/>
              </w:rPr>
              <w:t>何哲耘，排名6，主管技师，宁波市第二医院；</w:t>
            </w:r>
          </w:p>
          <w:p w14:paraId="5512589E">
            <w:pPr>
              <w:keepNext w:val="0"/>
              <w:keepLines w:val="0"/>
              <w:pageBreakBefore w:val="0"/>
              <w:widowControl w:val="0"/>
              <w:tabs>
                <w:tab w:val="center" w:pos="3152"/>
              </w:tabs>
              <w:kinsoku/>
              <w:wordWrap/>
              <w:overflowPunct/>
              <w:topLinePunct w:val="0"/>
              <w:autoSpaceDE/>
              <w:autoSpaceDN/>
              <w:bidi w:val="0"/>
              <w:adjustRightInd/>
              <w:snapToGrid/>
              <w:spacing w:line="400" w:lineRule="exact"/>
              <w:textAlignment w:val="auto"/>
              <w:rPr>
                <w:rFonts w:hint="eastAsia" w:eastAsia="仿宋_GB2312"/>
                <w:bCs/>
                <w:color w:val="auto"/>
                <w:sz w:val="24"/>
                <w:szCs w:val="24"/>
                <w:lang w:val="en-US" w:eastAsia="zh-CN"/>
              </w:rPr>
            </w:pPr>
            <w:r>
              <w:rPr>
                <w:rFonts w:hint="eastAsia" w:eastAsia="仿宋_GB2312"/>
                <w:bCs/>
                <w:color w:val="auto"/>
                <w:sz w:val="24"/>
                <w:szCs w:val="24"/>
                <w:lang w:val="en-US" w:eastAsia="zh-CN"/>
              </w:rPr>
              <w:t>周飞，排名7，助理实验师，宁波药晨医药研发有限公司；</w:t>
            </w:r>
          </w:p>
          <w:p w14:paraId="14AF272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仿宋_GB2312"/>
                <w:bCs/>
                <w:color w:val="auto"/>
                <w:sz w:val="24"/>
                <w:szCs w:val="24"/>
                <w:lang w:val="en-US" w:eastAsia="zh-CN"/>
              </w:rPr>
            </w:pPr>
            <w:r>
              <w:rPr>
                <w:rFonts w:hint="eastAsia" w:eastAsia="仿宋_GB2312"/>
                <w:bCs/>
                <w:color w:val="auto"/>
                <w:sz w:val="24"/>
                <w:szCs w:val="24"/>
                <w:lang w:val="en-US" w:eastAsia="zh-CN"/>
              </w:rPr>
              <w:t>周晶</w:t>
            </w:r>
            <w:r>
              <w:rPr>
                <w:rFonts w:eastAsia="仿宋_GB2312"/>
                <w:bCs/>
                <w:color w:val="auto"/>
                <w:sz w:val="24"/>
                <w:szCs w:val="24"/>
              </w:rPr>
              <w:t>，排名</w:t>
            </w:r>
            <w:r>
              <w:rPr>
                <w:rFonts w:hint="eastAsia" w:eastAsia="仿宋_GB2312"/>
                <w:bCs/>
                <w:color w:val="auto"/>
                <w:sz w:val="24"/>
                <w:szCs w:val="24"/>
                <w:lang w:val="en-US" w:eastAsia="zh-CN"/>
              </w:rPr>
              <w:t>8</w:t>
            </w:r>
            <w:r>
              <w:rPr>
                <w:rFonts w:eastAsia="仿宋_GB2312"/>
                <w:bCs/>
                <w:color w:val="auto"/>
                <w:sz w:val="24"/>
                <w:szCs w:val="24"/>
              </w:rPr>
              <w:t>，</w:t>
            </w:r>
            <w:r>
              <w:rPr>
                <w:rFonts w:hint="eastAsia" w:eastAsia="仿宋_GB2312"/>
                <w:bCs/>
                <w:color w:val="auto"/>
                <w:sz w:val="24"/>
                <w:szCs w:val="24"/>
                <w:lang w:val="en-US" w:eastAsia="zh-CN"/>
              </w:rPr>
              <w:t>主治中医师</w:t>
            </w:r>
            <w:r>
              <w:rPr>
                <w:rFonts w:eastAsia="仿宋_GB2312"/>
                <w:bCs/>
                <w:color w:val="auto"/>
                <w:sz w:val="24"/>
                <w:szCs w:val="24"/>
              </w:rPr>
              <w:t>，</w:t>
            </w:r>
            <w:r>
              <w:rPr>
                <w:rFonts w:hint="eastAsia" w:eastAsia="仿宋_GB2312"/>
                <w:bCs/>
                <w:color w:val="auto"/>
                <w:sz w:val="24"/>
                <w:szCs w:val="24"/>
                <w:lang w:val="en-US" w:eastAsia="zh-CN"/>
              </w:rPr>
              <w:t>宁波市第二医院</w:t>
            </w:r>
            <w:r>
              <w:rPr>
                <w:rFonts w:eastAsia="仿宋_GB2312"/>
                <w:bCs/>
                <w:color w:val="auto"/>
                <w:sz w:val="24"/>
                <w:szCs w:val="24"/>
              </w:rPr>
              <w:t>；</w:t>
            </w:r>
          </w:p>
          <w:p w14:paraId="107B58E3">
            <w:pPr>
              <w:keepNext w:val="0"/>
              <w:keepLines w:val="0"/>
              <w:pageBreakBefore w:val="0"/>
              <w:widowControl w:val="0"/>
              <w:tabs>
                <w:tab w:val="center" w:pos="3152"/>
              </w:tabs>
              <w:kinsoku/>
              <w:wordWrap/>
              <w:overflowPunct/>
              <w:topLinePunct w:val="0"/>
              <w:autoSpaceDE/>
              <w:autoSpaceDN/>
              <w:bidi w:val="0"/>
              <w:adjustRightInd/>
              <w:snapToGrid/>
              <w:spacing w:line="400" w:lineRule="exact"/>
              <w:textAlignment w:val="auto"/>
              <w:rPr>
                <w:rFonts w:eastAsia="仿宋_GB2312"/>
                <w:bCs/>
                <w:sz w:val="24"/>
                <w:szCs w:val="24"/>
              </w:rPr>
            </w:pPr>
            <w:r>
              <w:rPr>
                <w:rFonts w:hint="eastAsia" w:eastAsia="仿宋_GB2312"/>
                <w:bCs/>
                <w:color w:val="auto"/>
                <w:sz w:val="24"/>
                <w:szCs w:val="24"/>
                <w:lang w:val="en-US" w:eastAsia="zh-CN"/>
              </w:rPr>
              <w:t>辛鑫，排名9，主任医师，上海中医药大学附属曙光医院。</w:t>
            </w:r>
          </w:p>
        </w:tc>
      </w:tr>
      <w:tr w14:paraId="7CD19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28559DAB">
            <w:pPr>
              <w:spacing w:line="440" w:lineRule="exact"/>
              <w:jc w:val="center"/>
              <w:rPr>
                <w:rFonts w:eastAsia="仿宋"/>
                <w:bCs/>
                <w:sz w:val="24"/>
                <w:szCs w:val="24"/>
              </w:rPr>
            </w:pPr>
            <w:r>
              <w:rPr>
                <w:rFonts w:eastAsia="仿宋"/>
                <w:bCs/>
                <w:sz w:val="28"/>
                <w:szCs w:val="24"/>
              </w:rPr>
              <w:t>主要完成单位</w:t>
            </w:r>
          </w:p>
        </w:tc>
        <w:tc>
          <w:tcPr>
            <w:tcW w:w="6264" w:type="dxa"/>
            <w:tcBorders>
              <w:left w:val="single" w:color="auto" w:sz="4" w:space="0"/>
            </w:tcBorders>
            <w:vAlign w:val="center"/>
          </w:tcPr>
          <w:p w14:paraId="6FF1ABEE">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eastAsia="仿宋_GB2312"/>
                <w:bCs/>
                <w:color w:val="auto"/>
                <w:sz w:val="24"/>
                <w:szCs w:val="24"/>
                <w:lang w:val="en-US" w:eastAsia="zh-CN"/>
              </w:rPr>
            </w:pPr>
            <w:r>
              <w:rPr>
                <w:rFonts w:eastAsia="仿宋_GB2312"/>
                <w:bCs/>
                <w:color w:val="auto"/>
                <w:sz w:val="24"/>
                <w:szCs w:val="24"/>
              </w:rPr>
              <w:t>单位名称：</w:t>
            </w:r>
            <w:r>
              <w:rPr>
                <w:rFonts w:hint="eastAsia" w:eastAsia="仿宋_GB2312"/>
                <w:bCs/>
                <w:color w:val="auto"/>
                <w:sz w:val="24"/>
                <w:szCs w:val="24"/>
                <w:lang w:val="en-US" w:eastAsia="zh-CN"/>
              </w:rPr>
              <w:t>宁波市第二医院</w:t>
            </w:r>
          </w:p>
          <w:p w14:paraId="2F624B4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eastAsia" w:eastAsia="仿宋_GB2312"/>
                <w:bCs/>
                <w:color w:val="auto"/>
                <w:sz w:val="24"/>
                <w:szCs w:val="24"/>
                <w:lang w:val="en-US" w:eastAsia="zh-CN"/>
              </w:rPr>
            </w:pPr>
            <w:r>
              <w:rPr>
                <w:rFonts w:eastAsia="仿宋_GB2312"/>
                <w:bCs/>
                <w:color w:val="auto"/>
                <w:sz w:val="24"/>
                <w:szCs w:val="24"/>
              </w:rPr>
              <w:t>单位名称：</w:t>
            </w:r>
            <w:r>
              <w:rPr>
                <w:rFonts w:hint="eastAsia" w:eastAsia="仿宋_GB2312"/>
                <w:bCs/>
                <w:color w:val="auto"/>
                <w:sz w:val="24"/>
                <w:szCs w:val="24"/>
                <w:lang w:val="en-US" w:eastAsia="zh-CN"/>
              </w:rPr>
              <w:t>上海中医药大学附属曙光医院</w:t>
            </w:r>
          </w:p>
          <w:p w14:paraId="124083BB">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eastAsia="仿宋"/>
                <w:bCs/>
                <w:color w:val="auto"/>
                <w:sz w:val="24"/>
                <w:szCs w:val="24"/>
              </w:rPr>
            </w:pPr>
            <w:r>
              <w:rPr>
                <w:rFonts w:hint="eastAsia" w:eastAsia="仿宋_GB2312"/>
                <w:bCs/>
                <w:color w:val="auto"/>
                <w:sz w:val="24"/>
                <w:szCs w:val="24"/>
                <w:lang w:val="en-US" w:eastAsia="zh-CN"/>
              </w:rPr>
              <w:t>单位名称：宁波大学</w:t>
            </w:r>
          </w:p>
          <w:p w14:paraId="1287957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eastAsia="仿宋"/>
                <w:bCs/>
                <w:sz w:val="24"/>
                <w:szCs w:val="24"/>
              </w:rPr>
            </w:pPr>
            <w:r>
              <w:rPr>
                <w:rFonts w:eastAsia="仿宋_GB2312"/>
                <w:bCs/>
                <w:color w:val="auto"/>
                <w:sz w:val="24"/>
                <w:szCs w:val="24"/>
              </w:rPr>
              <w:t>单位名称：</w:t>
            </w:r>
            <w:r>
              <w:rPr>
                <w:rFonts w:hint="eastAsia" w:eastAsia="仿宋_GB2312"/>
                <w:bCs/>
                <w:color w:val="auto"/>
                <w:sz w:val="24"/>
                <w:szCs w:val="24"/>
                <w:lang w:val="en-US" w:eastAsia="zh-CN"/>
              </w:rPr>
              <w:t>杭州师范大学附属医院</w:t>
            </w:r>
          </w:p>
        </w:tc>
      </w:tr>
      <w:tr w14:paraId="06BAC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697EDD4A">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64" w:type="dxa"/>
            <w:vAlign w:val="center"/>
          </w:tcPr>
          <w:p w14:paraId="602A78FB">
            <w:pPr>
              <w:contextualSpacing/>
              <w:jc w:val="center"/>
              <w:rPr>
                <w:rStyle w:val="36"/>
                <w:rFonts w:hint="default" w:eastAsia="宋体"/>
                <w:b w:val="0"/>
                <w:color w:val="auto"/>
                <w:lang w:val="en-US" w:eastAsia="zh-CN"/>
              </w:rPr>
            </w:pPr>
            <w:r>
              <w:rPr>
                <w:rStyle w:val="36"/>
                <w:rFonts w:hint="eastAsia"/>
                <w:b w:val="0"/>
                <w:color w:val="auto"/>
                <w:lang w:val="en-US" w:eastAsia="zh-CN"/>
              </w:rPr>
              <w:t>宁波市人民政府</w:t>
            </w:r>
          </w:p>
        </w:tc>
      </w:tr>
      <w:tr w14:paraId="718A4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1" w:hRule="atLeast"/>
        </w:trPr>
        <w:tc>
          <w:tcPr>
            <w:tcW w:w="2269" w:type="dxa"/>
            <w:vAlign w:val="center"/>
          </w:tcPr>
          <w:p w14:paraId="7C0A5939">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64" w:type="dxa"/>
            <w:vAlign w:val="center"/>
          </w:tcPr>
          <w:p w14:paraId="6D951946">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Style w:val="36"/>
                <w:rFonts w:hint="eastAsia"/>
                <w:b w:val="0"/>
                <w:color w:val="auto"/>
              </w:rPr>
            </w:pPr>
            <w:r>
              <w:rPr>
                <w:rStyle w:val="36"/>
                <w:rFonts w:hint="eastAsia"/>
                <w:b w:val="0"/>
                <w:color w:val="auto"/>
                <w:lang w:val="en-US" w:eastAsia="zh-CN"/>
              </w:rPr>
              <w:t xml:space="preserve">   </w:t>
            </w:r>
            <w:r>
              <w:rPr>
                <w:rStyle w:val="36"/>
                <w:rFonts w:hint="eastAsia"/>
                <w:b w:val="0"/>
                <w:color w:val="auto"/>
              </w:rPr>
              <w:t>代谢相关脂肪性肝病（MAFLD）已成为我国第一大慢性肝病，由其引发的肝硬化和肝细胞癌逐年攀升，疾病负担沉重，而</w:t>
            </w:r>
            <w:r>
              <w:rPr>
                <w:rStyle w:val="36"/>
                <w:rFonts w:hint="eastAsia"/>
                <w:b w:val="0"/>
                <w:color w:val="auto"/>
                <w:lang w:val="en-US" w:eastAsia="zh-CN"/>
              </w:rPr>
              <w:t>目前尚缺乏</w:t>
            </w:r>
            <w:r>
              <w:rPr>
                <w:rStyle w:val="36"/>
                <w:rFonts w:hint="eastAsia"/>
                <w:b w:val="0"/>
                <w:color w:val="auto"/>
              </w:rPr>
              <w:t>安全有效的治疗药物。该项目针对这一重大公共卫生需求，立足中医药理论优势，系统开展了MAFLD的中医药诊治研究，取得了系列创新成果：1）理论创新方面，确立并系统论证了“湿瘀互结”为MAFLD的基本病机，在此基础上创立分型论治方案，研制出针对</w:t>
            </w:r>
          </w:p>
          <w:p w14:paraId="34DF2687">
            <w:pPr>
              <w:keepNext w:val="0"/>
              <w:keepLines w:val="0"/>
              <w:pageBreakBefore w:val="0"/>
              <w:widowControl w:val="0"/>
              <w:kinsoku/>
              <w:wordWrap/>
              <w:overflowPunct/>
              <w:topLinePunct w:val="0"/>
              <w:autoSpaceDE/>
              <w:autoSpaceDN/>
              <w:bidi w:val="0"/>
              <w:adjustRightInd/>
              <w:snapToGrid/>
              <w:spacing w:line="400" w:lineRule="exact"/>
              <w:contextualSpacing/>
              <w:jc w:val="both"/>
              <w:textAlignment w:val="auto"/>
              <w:rPr>
                <w:rStyle w:val="36"/>
                <w:rFonts w:hint="eastAsia"/>
                <w:b w:val="0"/>
                <w:color w:val="auto"/>
              </w:rPr>
            </w:pPr>
            <w:r>
              <w:rPr>
                <w:rStyle w:val="36"/>
                <w:rFonts w:hint="eastAsia"/>
                <w:b w:val="0"/>
                <w:color w:val="auto"/>
              </w:rPr>
              <w:t>湿瘀证型的祛湿化瘀方和针对痰瘀证型的祛痰活血方（HJJB方），实现了病机指导下的精准分型干预，丰富了中医药诊治代谢性肝病的理论体系。2）药效物质与作用机制方面。采用均匀设计-药效追踪策略，精准确证了两方的关键药效物质基础；并从肠道微生态和“肠-肝轴”角度，系统揭示了方药调节肠道菌群、激活FXR/TGR5信号通路的差异化分子机制，为中医药治疗MAFLD提供了现代科学依据。3）临床应用与社会效益方面，该成果已获国家发明专利，发表高水平论文20余篇，获得浙江省中医药科学技术二等奖和中国中西医结合学会科学技术二等奖，并在</w:t>
            </w:r>
            <w:r>
              <w:rPr>
                <w:rStyle w:val="36"/>
                <w:rFonts w:hint="eastAsia"/>
                <w:b w:val="0"/>
                <w:color w:val="auto"/>
                <w:lang w:val="en-US" w:eastAsia="zh-CN"/>
              </w:rPr>
              <w:t>上海、</w:t>
            </w:r>
            <w:r>
              <w:rPr>
                <w:rStyle w:val="36"/>
                <w:rFonts w:hint="eastAsia"/>
                <w:b w:val="0"/>
                <w:color w:val="auto"/>
              </w:rPr>
              <w:t>浙江、福建、广西、陕西等地多家医院推广应用，疗效确切，安全性良好，取得了显著的社会效益。</w:t>
            </w:r>
          </w:p>
          <w:p w14:paraId="34B44762">
            <w:pPr>
              <w:keepNext w:val="0"/>
              <w:keepLines w:val="0"/>
              <w:pageBreakBefore w:val="0"/>
              <w:widowControl w:val="0"/>
              <w:kinsoku/>
              <w:wordWrap/>
              <w:overflowPunct/>
              <w:topLinePunct w:val="0"/>
              <w:autoSpaceDE/>
              <w:autoSpaceDN/>
              <w:bidi w:val="0"/>
              <w:adjustRightInd/>
              <w:snapToGrid/>
              <w:spacing w:line="400" w:lineRule="exact"/>
              <w:ind w:firstLine="480" w:firstLineChars="200"/>
              <w:contextualSpacing/>
              <w:jc w:val="both"/>
              <w:textAlignment w:val="auto"/>
              <w:rPr>
                <w:rStyle w:val="36"/>
                <w:rFonts w:hint="eastAsia"/>
                <w:b w:val="0"/>
                <w:color w:val="auto"/>
              </w:rPr>
            </w:pPr>
            <w:r>
              <w:rPr>
                <w:rStyle w:val="36"/>
                <w:rFonts w:hint="eastAsia"/>
                <w:b w:val="0"/>
                <w:color w:val="auto"/>
              </w:rPr>
              <w:t>该项目成果创新性强、科学内涵清晰、临床实用价值高，对推动中医药现代化和解决</w:t>
            </w:r>
            <w:r>
              <w:rPr>
                <w:rStyle w:val="36"/>
                <w:rFonts w:hint="eastAsia"/>
                <w:b w:val="0"/>
                <w:color w:val="auto"/>
                <w:lang w:val="en-US" w:eastAsia="zh-CN"/>
              </w:rPr>
              <w:t>MAFLD</w:t>
            </w:r>
            <w:r>
              <w:rPr>
                <w:rStyle w:val="36"/>
                <w:rFonts w:hint="eastAsia"/>
                <w:b w:val="0"/>
                <w:color w:val="auto"/>
              </w:rPr>
              <w:t>防治难题具有重要意义。</w:t>
            </w:r>
          </w:p>
          <w:p w14:paraId="05DABB0D">
            <w:pPr>
              <w:keepNext w:val="0"/>
              <w:keepLines w:val="0"/>
              <w:pageBreakBefore w:val="0"/>
              <w:widowControl w:val="0"/>
              <w:kinsoku/>
              <w:wordWrap/>
              <w:overflowPunct/>
              <w:topLinePunct w:val="0"/>
              <w:autoSpaceDE/>
              <w:autoSpaceDN/>
              <w:bidi w:val="0"/>
              <w:adjustRightInd/>
              <w:snapToGrid/>
              <w:spacing w:line="400" w:lineRule="exact"/>
              <w:ind w:firstLine="480" w:firstLineChars="200"/>
              <w:contextualSpacing/>
              <w:jc w:val="both"/>
              <w:textAlignment w:val="auto"/>
              <w:rPr>
                <w:rStyle w:val="36"/>
                <w:rFonts w:hint="eastAsia"/>
                <w:b w:val="0"/>
                <w:color w:val="auto"/>
              </w:rPr>
            </w:pPr>
            <w:r>
              <w:rPr>
                <w:rStyle w:val="36"/>
                <w:rFonts w:hint="eastAsia"/>
                <w:b w:val="0"/>
                <w:color w:val="auto"/>
              </w:rPr>
              <w:t>同意提名该项目申报浙江省科学技术进步奖二等奖。</w:t>
            </w:r>
          </w:p>
          <w:p w14:paraId="24E0C4DB">
            <w:pPr>
              <w:contextualSpacing/>
              <w:jc w:val="center"/>
              <w:rPr>
                <w:rStyle w:val="36"/>
                <w:b w:val="0"/>
                <w:color w:val="auto"/>
              </w:rPr>
            </w:pPr>
          </w:p>
        </w:tc>
      </w:tr>
    </w:tbl>
    <w:p w14:paraId="6FF69292">
      <w:pPr>
        <w:adjustRightInd w:val="0"/>
        <w:snapToGrid w:val="0"/>
        <w:spacing w:line="560" w:lineRule="exact"/>
        <w:rPr>
          <w:rFonts w:eastAsia="仿宋_GB2312"/>
          <w:sz w:val="32"/>
          <w:szCs w:val="32"/>
        </w:rPr>
      </w:pPr>
    </w:p>
    <w:sectPr>
      <w:headerReference r:id="rId3" w:type="default"/>
      <w:footerReference r:id="rId4" w:type="default"/>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1F1A35-CB3C-4F8D-95FA-73129266F6AB}"/>
  </w:font>
  <w:font w:name="Arial">
    <w:panose1 w:val="020B0604020202020204"/>
    <w:charset w:val="01"/>
    <w:family w:val="swiss"/>
    <w:pitch w:val="default"/>
    <w:sig w:usb0="E0002EFF" w:usb1="C000785B" w:usb2="00000009" w:usb3="00000000" w:csb0="400001FF" w:csb1="FFFF0000"/>
    <w:embedRegular r:id="rId2" w:fontKey="{9D6EBA7F-23A2-4DAE-87F2-21770FC0E67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AA6FF57-4E34-4180-8475-2E7D83D0EC09}"/>
  </w:font>
  <w:font w:name="Symbol">
    <w:panose1 w:val="05050102010706020507"/>
    <w:charset w:val="02"/>
    <w:family w:val="roman"/>
    <w:pitch w:val="default"/>
    <w:sig w:usb0="00000000" w:usb1="00000000" w:usb2="00000000" w:usb3="00000000" w:csb0="80000000" w:csb1="00000000"/>
    <w:embedRegular r:id="rId4" w:fontKey="{1983D8F3-E8F3-400E-8D77-6735A1405918}"/>
  </w:font>
  <w:font w:name="Calibri">
    <w:panose1 w:val="020F0502020204030204"/>
    <w:charset w:val="00"/>
    <w:family w:val="swiss"/>
    <w:pitch w:val="default"/>
    <w:sig w:usb0="E4002EFF" w:usb1="C200247B" w:usb2="00000009" w:usb3="00000000" w:csb0="200001FF" w:csb1="00000000"/>
    <w:embedRegular r:id="rId5" w:fontKey="{9C296B87-FE73-4475-BB60-D55ED7B05C6F}"/>
  </w:font>
  <w:font w:name="Cambria">
    <w:panose1 w:val="02040503050406030204"/>
    <w:charset w:val="00"/>
    <w:family w:val="roman"/>
    <w:pitch w:val="default"/>
    <w:sig w:usb0="E00006FF" w:usb1="420024FF" w:usb2="02000000" w:usb3="00000000" w:csb0="2000019F" w:csb1="00000000"/>
    <w:embedRegular r:id="rId6" w:fontKey="{7E839FB8-3094-4803-9F00-52E17869214F}"/>
  </w:font>
  <w:font w:name="仿宋_GB2312">
    <w:altName w:val="仿宋"/>
    <w:panose1 w:val="02010609030101010101"/>
    <w:charset w:val="86"/>
    <w:family w:val="modern"/>
    <w:pitch w:val="default"/>
    <w:sig w:usb0="00000000" w:usb1="00000000" w:usb2="00000000" w:usb3="00000000" w:csb0="00040000" w:csb1="00000000"/>
    <w:embedRegular r:id="rId7" w:fontKey="{C7B649F6-DCD0-46EF-8BFC-33F187F69D50}"/>
  </w:font>
  <w:font w:name="仿宋">
    <w:panose1 w:val="02010609060101010101"/>
    <w:charset w:val="86"/>
    <w:family w:val="modern"/>
    <w:pitch w:val="default"/>
    <w:sig w:usb0="800002BF" w:usb1="38CF7CFA" w:usb2="00000016" w:usb3="00000000" w:csb0="00040001" w:csb1="00000000"/>
    <w:embedRegular r:id="rId8" w:fontKey="{84706F6E-3BCB-44CD-AB56-EAC3EEFF616A}"/>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00" w:usb3="00000000" w:csb0="00040000" w:csb1="00000000"/>
    <w:embedRegular r:id="rId9" w:fontKey="{2426176C-2F26-406B-84DD-69199D4F2C76}"/>
  </w:font>
  <w:font w:name="方正舒体">
    <w:panose1 w:val="02010601030101010101"/>
    <w:charset w:val="86"/>
    <w:family w:val="auto"/>
    <w:pitch w:val="default"/>
    <w:sig w:usb0="00000003"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328A814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F828A">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BC118A"/>
    <w:multiLevelType w:val="singleLevel"/>
    <w:tmpl w:val="FDBC118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191564"/>
    <w:rsid w:val="0C76193E"/>
    <w:rsid w:val="0DCA1AB9"/>
    <w:rsid w:val="0DF07EE3"/>
    <w:rsid w:val="0E643518"/>
    <w:rsid w:val="0F102792"/>
    <w:rsid w:val="0F8B118C"/>
    <w:rsid w:val="0FE251D6"/>
    <w:rsid w:val="10344DD0"/>
    <w:rsid w:val="10633DCE"/>
    <w:rsid w:val="107B4D5D"/>
    <w:rsid w:val="10DD4EBB"/>
    <w:rsid w:val="12AE0195"/>
    <w:rsid w:val="130A103D"/>
    <w:rsid w:val="135F0966"/>
    <w:rsid w:val="13985B17"/>
    <w:rsid w:val="13F217DA"/>
    <w:rsid w:val="14CB5B87"/>
    <w:rsid w:val="152F6116"/>
    <w:rsid w:val="155C3CBE"/>
    <w:rsid w:val="15F93F79"/>
    <w:rsid w:val="162B62D2"/>
    <w:rsid w:val="16693DC2"/>
    <w:rsid w:val="16AD7FB9"/>
    <w:rsid w:val="17EDC74B"/>
    <w:rsid w:val="183F1493"/>
    <w:rsid w:val="18FC4FBA"/>
    <w:rsid w:val="190768CF"/>
    <w:rsid w:val="19AF3334"/>
    <w:rsid w:val="19F5075E"/>
    <w:rsid w:val="1A116732"/>
    <w:rsid w:val="1A342318"/>
    <w:rsid w:val="1A8D5661"/>
    <w:rsid w:val="1AAB4A91"/>
    <w:rsid w:val="1B0E4ACA"/>
    <w:rsid w:val="1B8B48E8"/>
    <w:rsid w:val="1C281B11"/>
    <w:rsid w:val="1C3E3265"/>
    <w:rsid w:val="1C8659B7"/>
    <w:rsid w:val="1C9808FD"/>
    <w:rsid w:val="1D2422E4"/>
    <w:rsid w:val="1D2A019D"/>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3C4388"/>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616294"/>
    <w:rsid w:val="368F078E"/>
    <w:rsid w:val="374F01EB"/>
    <w:rsid w:val="376213FE"/>
    <w:rsid w:val="376D011C"/>
    <w:rsid w:val="38891DB8"/>
    <w:rsid w:val="38A16843"/>
    <w:rsid w:val="390D7146"/>
    <w:rsid w:val="398E6CC1"/>
    <w:rsid w:val="398F5D75"/>
    <w:rsid w:val="399125CB"/>
    <w:rsid w:val="39A91FD3"/>
    <w:rsid w:val="3ABA7D5B"/>
    <w:rsid w:val="3B765F9D"/>
    <w:rsid w:val="3C4F4F38"/>
    <w:rsid w:val="3C9F6A2C"/>
    <w:rsid w:val="3CA5540E"/>
    <w:rsid w:val="3CE416AE"/>
    <w:rsid w:val="3D4E0105"/>
    <w:rsid w:val="3D6764E5"/>
    <w:rsid w:val="3E82529D"/>
    <w:rsid w:val="3EAD0C0C"/>
    <w:rsid w:val="3F7FF403"/>
    <w:rsid w:val="41792E05"/>
    <w:rsid w:val="41BD3437"/>
    <w:rsid w:val="41F15E70"/>
    <w:rsid w:val="42BF5395"/>
    <w:rsid w:val="436C4015"/>
    <w:rsid w:val="43772DF4"/>
    <w:rsid w:val="43C35D22"/>
    <w:rsid w:val="43D025F5"/>
    <w:rsid w:val="441A20EA"/>
    <w:rsid w:val="443469F5"/>
    <w:rsid w:val="44421112"/>
    <w:rsid w:val="44FD328B"/>
    <w:rsid w:val="462F56C6"/>
    <w:rsid w:val="46700558"/>
    <w:rsid w:val="46D30747"/>
    <w:rsid w:val="472E36B4"/>
    <w:rsid w:val="474B4C33"/>
    <w:rsid w:val="47B93F31"/>
    <w:rsid w:val="47F15329"/>
    <w:rsid w:val="48B06F92"/>
    <w:rsid w:val="48B76D8F"/>
    <w:rsid w:val="49DD2383"/>
    <w:rsid w:val="4BD86B03"/>
    <w:rsid w:val="4C1F3EFD"/>
    <w:rsid w:val="4CA639F1"/>
    <w:rsid w:val="4CE34B9C"/>
    <w:rsid w:val="4D38031C"/>
    <w:rsid w:val="4EAD471B"/>
    <w:rsid w:val="50EF43CF"/>
    <w:rsid w:val="535E0F14"/>
    <w:rsid w:val="53D31D87"/>
    <w:rsid w:val="54CB12CB"/>
    <w:rsid w:val="557E53F1"/>
    <w:rsid w:val="56226E9B"/>
    <w:rsid w:val="56D714C5"/>
    <w:rsid w:val="57E61A10"/>
    <w:rsid w:val="57FF4FBB"/>
    <w:rsid w:val="58D36AC3"/>
    <w:rsid w:val="58DE7204"/>
    <w:rsid w:val="594E097A"/>
    <w:rsid w:val="598310D4"/>
    <w:rsid w:val="59F65C7E"/>
    <w:rsid w:val="5ACC4005"/>
    <w:rsid w:val="5B64133E"/>
    <w:rsid w:val="5B9A4CA7"/>
    <w:rsid w:val="5BD60666"/>
    <w:rsid w:val="5BE661BF"/>
    <w:rsid w:val="5BEC1C38"/>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1256</Words>
  <Characters>2330</Characters>
  <Lines>366</Lines>
  <Paragraphs>103</Paragraphs>
  <TotalTime>4</TotalTime>
  <ScaleCrop>false</ScaleCrop>
  <LinksUpToDate>false</LinksUpToDate>
  <CharactersWithSpaces>2560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2022-01-27T08:15:00Z</dcterms:created>
  <dc:creator>胡胜链</dc:creator>
  <cp:lastModifiedBy>武艺</cp:lastModifiedBy>
  <cp:lastPrinted>2026-05-06T11:13:00Z</cp:lastPrinted>
  <dcterms:modified xsi:type="dcterms:W3CDTF">2026-06-07T13:51:57Z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7415A875B6C34A36A16A6087D0DEB524</vt:lpwstr>
  </property>
  <property fmtid="{D5CDD505-2E9C-101B-9397-08002B2CF9AE}" pid="4" name="KSOTemplateDocerSaveRecord">
    <vt:lpwstr>eyJoZGlkIjoiZmVhYmRhMWE1NDg0MTAwZDE4YzAxODdmNjJlMDUxYTIiLCJ1c2VySWQiOiIzNDE5NDI3MTEifQ==</vt:lpwstr>
  </property>
</Properties>
</file>